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64708CCA" w14:textId="77777777" w:rsidR="00E57737" w:rsidRPr="00E356F4" w:rsidRDefault="00E57737" w:rsidP="00E57737">
      <w:pPr>
        <w:spacing w:before="0" w:after="0"/>
        <w:jc w:val="center"/>
        <w:rPr>
          <w:rFonts w:ascii="Times New Roman" w:hAnsi="Times New Roman"/>
          <w:snapToGrid/>
          <w:sz w:val="22"/>
          <w:szCs w:val="24"/>
          <w:lang w:val="en-GB"/>
        </w:rPr>
      </w:pPr>
      <w:r w:rsidRPr="00E356F4">
        <w:rPr>
          <w:rFonts w:ascii="Times New Roman" w:hAnsi="Times New Roman"/>
          <w:b/>
          <w:bCs/>
          <w:snapToGrid/>
          <w:sz w:val="22"/>
          <w:szCs w:val="22"/>
          <w:lang w:val="en-GB"/>
        </w:rPr>
        <w:t>European Union Rule of Law Mission in Kosovo (EULEX</w:t>
      </w:r>
      <w:r w:rsidRPr="00E356F4">
        <w:rPr>
          <w:rFonts w:ascii="Times New Roman" w:hAnsi="Times New Roman"/>
          <w:snapToGrid/>
          <w:sz w:val="22"/>
          <w:szCs w:val="22"/>
          <w:lang w:val="en-GB"/>
        </w:rPr>
        <w:t>), with its address at Lidhja e Pejës, Industrial Zone P.O. Box 268 10000 Pristina, Kosovo, represented by Head of Mission</w:t>
      </w:r>
      <w:r w:rsidRPr="00E356F4">
        <w:rPr>
          <w:rFonts w:ascii="Times New Roman" w:hAnsi="Times New Roman"/>
          <w:snapToGrid/>
          <w:sz w:val="22"/>
          <w:szCs w:val="24"/>
          <w:lang w:val="en-GB"/>
        </w:rPr>
        <w:t>, referred to below as the “Contracting Authority”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E57737">
        <w:rPr>
          <w:rFonts w:ascii="Times New Roman" w:hAnsi="Times New Roman"/>
          <w:sz w:val="22"/>
          <w:lang w:val="en-GB"/>
        </w:rPr>
        <w:t>&lt;Date&gt;</w:t>
      </w:r>
    </w:p>
    <w:p w14:paraId="4C4D92BD" w14:textId="0A9E3AE1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F34766" w:rsidRPr="00F34766">
        <w:rPr>
          <w:rFonts w:ascii="Times New Roman" w:hAnsi="Times New Roman"/>
          <w:b/>
          <w:sz w:val="22"/>
          <w:lang w:val="en-GB"/>
        </w:rPr>
        <w:t>PROC/1437/25/ Purchase of Next Generation Firewall, Core and Distribution Switches</w:t>
      </w:r>
    </w:p>
    <w:p w14:paraId="57034CFA" w14:textId="2443B156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F34766" w:rsidRPr="00F34766">
        <w:rPr>
          <w:rFonts w:ascii="Times New Roman" w:hAnsi="Times New Roman"/>
          <w:b/>
          <w:sz w:val="22"/>
          <w:lang w:val="en-GB"/>
        </w:rPr>
        <w:t>PROC/1437/25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0951CC48" w14:textId="77777777" w:rsidR="00E57737" w:rsidRPr="00A039CA" w:rsidRDefault="00E57737" w:rsidP="00E57737">
      <w:pPr>
        <w:jc w:val="both"/>
        <w:rPr>
          <w:rFonts w:ascii="Times New Roman" w:hAnsi="Times New Roman"/>
          <w:sz w:val="22"/>
          <w:lang w:val="en-GB"/>
        </w:rPr>
      </w:pPr>
      <w:r w:rsidRPr="00E356F4">
        <w:rPr>
          <w:rFonts w:ascii="Times New Roman" w:hAnsi="Times New Roman"/>
          <w:sz w:val="22"/>
          <w:lang w:val="en-GB"/>
        </w:rPr>
        <w:t>The law applicable to this guarantee shall be that of Belgium.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E356F4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E356F4">
        <w:rPr>
          <w:rFonts w:ascii="Times New Roman" w:hAnsi="Times New Roman"/>
          <w:sz w:val="22"/>
          <w:lang w:val="en-GB"/>
        </w:rPr>
        <w:t>Belgium.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CB2E" w14:textId="77777777" w:rsidR="00E209DF" w:rsidRDefault="00E209DF">
      <w:r>
        <w:separator/>
      </w:r>
    </w:p>
  </w:endnote>
  <w:endnote w:type="continuationSeparator" w:id="0">
    <w:p w14:paraId="69E050B8" w14:textId="77777777" w:rsidR="00E209DF" w:rsidRDefault="00E2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FC1E" w14:textId="77777777" w:rsidR="00E209DF" w:rsidRDefault="00E209DF">
      <w:r>
        <w:separator/>
      </w:r>
    </w:p>
  </w:footnote>
  <w:footnote w:type="continuationSeparator" w:id="0">
    <w:p w14:paraId="77352E3E" w14:textId="77777777" w:rsidR="00E209DF" w:rsidRDefault="00E209DF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03C5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35CF1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E50FE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66DC2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BF475B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09DF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57737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4766"/>
    <w:rsid w:val="00F37F2D"/>
    <w:rsid w:val="00F52928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058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Radu Ghizdeanu</cp:lastModifiedBy>
  <cp:revision>5</cp:revision>
  <cp:lastPrinted>2012-09-24T09:41:00Z</cp:lastPrinted>
  <dcterms:created xsi:type="dcterms:W3CDTF">2025-06-24T08:04:00Z</dcterms:created>
  <dcterms:modified xsi:type="dcterms:W3CDTF">2025-10-16T09:27:00Z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